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5C4BEAB" w:rsidP="0C8A85B3" w:rsidRDefault="55C4BEAB" w14:paraId="691B0914" w14:textId="5B0E1387">
      <w:pPr>
        <w:spacing w:line="360" w:lineRule="auto"/>
        <w:jc w:val="center"/>
        <w:rPr>
          <w:rFonts w:ascii="Verdana" w:hAnsi="Verdana"/>
          <w:b w:val="1"/>
          <w:bCs w:val="1"/>
          <w:sz w:val="28"/>
          <w:szCs w:val="28"/>
          <w:lang w:val="is-IS" w:eastAsia="en-GB"/>
        </w:rPr>
      </w:pPr>
      <w:r w:rsidRPr="0C8A85B3" w:rsidR="55C4BEAB">
        <w:rPr>
          <w:rFonts w:ascii="Verdana" w:hAnsi="Verdana"/>
          <w:b w:val="1"/>
          <w:bCs w:val="1"/>
          <w:sz w:val="28"/>
          <w:szCs w:val="28"/>
          <w:lang w:val="is-IS" w:eastAsia="en-GB"/>
        </w:rPr>
        <w:t>Samantekt um</w:t>
      </w:r>
    </w:p>
    <w:p w:rsidRPr="0037534A" w:rsidR="008231A5" w:rsidP="0C8A85B3" w:rsidRDefault="008231A5" w14:paraId="7E0D1F25" w14:textId="663C924A">
      <w:pPr>
        <w:spacing w:line="360" w:lineRule="auto"/>
        <w:jc w:val="center"/>
        <w:rPr>
          <w:rFonts w:ascii="Verdana" w:hAnsi="Verdana"/>
          <w:b w:val="1"/>
          <w:bCs w:val="1"/>
          <w:sz w:val="28"/>
          <w:szCs w:val="28"/>
          <w:lang w:val="is-IS" w:eastAsia="en-GB"/>
        </w:rPr>
      </w:pPr>
      <w:r w:rsidRPr="46B29231" w:rsidR="55C4BEAB">
        <w:rPr>
          <w:rFonts w:ascii="Verdana" w:hAnsi="Verdana"/>
          <w:b w:val="1"/>
          <w:bCs w:val="1"/>
          <w:sz w:val="28"/>
          <w:szCs w:val="28"/>
          <w:lang w:val="is-IS" w:eastAsia="en-GB"/>
        </w:rPr>
        <w:t>ú</w:t>
      </w:r>
      <w:r w:rsidRPr="46B29231" w:rsidR="008231A5">
        <w:rPr>
          <w:rFonts w:ascii="Verdana" w:hAnsi="Verdana"/>
          <w:b w:val="1"/>
          <w:bCs w:val="1"/>
          <w:sz w:val="28"/>
          <w:szCs w:val="28"/>
          <w:lang w:val="is-IS" w:eastAsia="en-GB"/>
        </w:rPr>
        <w:t>tsvar og fasteignagjöld 202</w:t>
      </w:r>
      <w:r w:rsidRPr="46B29231" w:rsidR="00003432">
        <w:rPr>
          <w:rFonts w:ascii="Verdana" w:hAnsi="Verdana"/>
          <w:b w:val="1"/>
          <w:bCs w:val="1"/>
          <w:sz w:val="28"/>
          <w:szCs w:val="28"/>
          <w:lang w:val="is-IS" w:eastAsia="en-GB"/>
        </w:rPr>
        <w:t>6</w:t>
      </w:r>
      <w:r w:rsidRPr="46B29231" w:rsidR="35EC3EBE">
        <w:rPr>
          <w:rFonts w:ascii="Verdana" w:hAnsi="Verdana"/>
          <w:b w:val="1"/>
          <w:bCs w:val="1"/>
          <w:sz w:val="28"/>
          <w:szCs w:val="28"/>
          <w:lang w:val="is-IS" w:eastAsia="en-GB"/>
        </w:rPr>
        <w:t>*</w:t>
      </w:r>
    </w:p>
    <w:p w:rsidR="0C8A85B3" w:rsidP="0C8A85B3" w:rsidRDefault="0C8A85B3" w14:paraId="11A9531C" w14:textId="459F40A4">
      <w:pPr>
        <w:tabs>
          <w:tab w:val="num" w:leader="none" w:pos="1080"/>
        </w:tabs>
        <w:spacing w:line="360" w:lineRule="auto"/>
        <w:ind w:left="1080" w:hanging="720"/>
      </w:pPr>
    </w:p>
    <w:p w:rsidRPr="008231A5" w:rsidR="008231A5" w:rsidP="008231A5" w:rsidRDefault="008231A5" w14:paraId="34182019" w14:textId="7F3597C2">
      <w:pPr>
        <w:numPr>
          <w:ilvl w:val="0"/>
          <w:numId w:val="1"/>
        </w:numPr>
        <w:spacing w:line="360" w:lineRule="auto"/>
        <w:rPr>
          <w:rFonts w:ascii="Verdana" w:hAnsi="Verdana"/>
          <w:b/>
          <w:bCs/>
          <w:lang w:val="is-IS" w:eastAsia="en-GB"/>
        </w:rPr>
      </w:pPr>
      <w:r w:rsidRPr="008231A5">
        <w:rPr>
          <w:rFonts w:ascii="Verdana" w:hAnsi="Verdana"/>
          <w:b/>
          <w:bCs/>
          <w:lang w:val="is-IS" w:eastAsia="en-GB"/>
        </w:rPr>
        <w:t>Útsvar:</w:t>
      </w:r>
    </w:p>
    <w:p w:rsidRPr="00775E9B" w:rsidR="008231A5" w:rsidP="008231A5" w:rsidRDefault="008231A5" w14:paraId="1C944031" w14:textId="36BC12C9">
      <w:pPr>
        <w:spacing w:line="360" w:lineRule="auto"/>
        <w:ind w:left="1080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Útsvar</w:t>
      </w:r>
      <w:r w:rsidR="00387A28">
        <w:rPr>
          <w:rFonts w:ascii="Verdana" w:hAnsi="Verdana"/>
          <w:lang w:val="is-IS" w:eastAsia="en-GB"/>
        </w:rPr>
        <w:t>sprósenta</w:t>
      </w:r>
      <w:r w:rsidRPr="00775E9B">
        <w:rPr>
          <w:rFonts w:ascii="Verdana" w:hAnsi="Verdana"/>
          <w:lang w:val="is-IS" w:eastAsia="en-GB"/>
        </w:rPr>
        <w:t xml:space="preserve"> fyrir árið 202</w:t>
      </w:r>
      <w:r w:rsidR="00003432">
        <w:rPr>
          <w:rFonts w:ascii="Verdana" w:hAnsi="Verdana"/>
          <w:lang w:val="is-IS" w:eastAsia="en-GB"/>
        </w:rPr>
        <w:t>6</w:t>
      </w:r>
      <w:r w:rsidRPr="00775E9B">
        <w:rPr>
          <w:rFonts w:ascii="Verdana" w:hAnsi="Verdana"/>
          <w:lang w:val="is-IS" w:eastAsia="en-GB"/>
        </w:rPr>
        <w:t xml:space="preserve"> verði 14,</w:t>
      </w:r>
      <w:r>
        <w:rPr>
          <w:rFonts w:ascii="Verdana" w:hAnsi="Verdana"/>
          <w:lang w:val="is-IS" w:eastAsia="en-GB"/>
        </w:rPr>
        <w:t>97</w:t>
      </w:r>
      <w:r w:rsidRPr="00775E9B">
        <w:rPr>
          <w:rFonts w:ascii="Verdana" w:hAnsi="Verdana"/>
          <w:lang w:val="is-IS" w:eastAsia="en-GB"/>
        </w:rPr>
        <w:t>%</w:t>
      </w:r>
    </w:p>
    <w:p w:rsidRPr="00775E9B" w:rsidR="008231A5" w:rsidP="008231A5" w:rsidRDefault="008231A5" w14:paraId="7E6F5ADC" w14:textId="77777777">
      <w:pPr>
        <w:spacing w:line="360" w:lineRule="auto"/>
        <w:ind w:left="1080"/>
        <w:rPr>
          <w:rFonts w:ascii="Verdana" w:hAnsi="Verdana"/>
          <w:lang w:val="is-IS" w:eastAsia="en-GB"/>
        </w:rPr>
      </w:pPr>
    </w:p>
    <w:p w:rsidRPr="008231A5" w:rsidR="008231A5" w:rsidP="008231A5" w:rsidRDefault="008231A5" w14:paraId="10FD9991" w14:textId="77777777">
      <w:pPr>
        <w:numPr>
          <w:ilvl w:val="0"/>
          <w:numId w:val="1"/>
        </w:numPr>
        <w:spacing w:line="360" w:lineRule="auto"/>
        <w:rPr>
          <w:rFonts w:ascii="Verdana" w:hAnsi="Verdana"/>
          <w:b/>
          <w:bCs/>
          <w:lang w:val="is-IS" w:eastAsia="en-GB"/>
        </w:rPr>
      </w:pPr>
      <w:r w:rsidRPr="008231A5">
        <w:rPr>
          <w:rFonts w:ascii="Verdana" w:hAnsi="Verdana"/>
          <w:b/>
          <w:bCs/>
          <w:lang w:val="is-IS" w:eastAsia="en-GB"/>
        </w:rPr>
        <w:t>Fasteignagjöld :</w:t>
      </w:r>
    </w:p>
    <w:p w:rsidRPr="00775E9B" w:rsidR="008231A5" w:rsidP="008231A5" w:rsidRDefault="008231A5" w14:paraId="6BF91C06" w14:textId="19F2F617">
      <w:pPr>
        <w:spacing w:line="360" w:lineRule="auto"/>
        <w:ind w:left="1080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Fasteignagjöld fyrir árið 202</w:t>
      </w:r>
      <w:r w:rsidR="00003432">
        <w:rPr>
          <w:rFonts w:ascii="Verdana" w:hAnsi="Verdana"/>
          <w:lang w:val="is-IS" w:eastAsia="en-GB"/>
        </w:rPr>
        <w:t>6</w:t>
      </w:r>
      <w:r w:rsidRPr="00775E9B">
        <w:rPr>
          <w:rFonts w:ascii="Verdana" w:hAnsi="Verdana"/>
          <w:lang w:val="is-IS" w:eastAsia="en-GB"/>
        </w:rPr>
        <w:t xml:space="preserve"> verði lögð á sem hér segir :</w:t>
      </w:r>
    </w:p>
    <w:p w:rsidRPr="00775E9B" w:rsidR="008231A5" w:rsidP="008231A5" w:rsidRDefault="008231A5" w14:paraId="4EB515E7" w14:textId="77777777">
      <w:pPr>
        <w:numPr>
          <w:ilvl w:val="1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Fasteignaskattur</w:t>
      </w:r>
    </w:p>
    <w:p w:rsidRPr="00775E9B" w:rsidR="008231A5" w:rsidP="008231A5" w:rsidRDefault="008231A5" w14:paraId="14162559" w14:textId="3D12E125">
      <w:pPr>
        <w:spacing w:line="360" w:lineRule="auto"/>
        <w:ind w:left="2160" w:hanging="720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i.</w:t>
      </w:r>
      <w:r w:rsidRPr="00775E9B">
        <w:rPr>
          <w:rFonts w:ascii="Verdana" w:hAnsi="Verdana"/>
          <w:lang w:val="is-IS" w:eastAsia="en-GB"/>
        </w:rPr>
        <w:tab/>
      </w:r>
      <w:r w:rsidRPr="00775E9B">
        <w:rPr>
          <w:rFonts w:ascii="Verdana" w:hAnsi="Verdana"/>
          <w:lang w:val="is-IS" w:eastAsia="en-GB"/>
        </w:rPr>
        <w:t>A - flokkur</w:t>
      </w:r>
      <w:r w:rsidRPr="00775E9B">
        <w:rPr>
          <w:rFonts w:ascii="Verdana" w:hAnsi="Verdana"/>
          <w:lang w:val="is-IS" w:eastAsia="en-GB"/>
        </w:rPr>
        <w:tab/>
      </w:r>
      <w:r w:rsidRPr="00775E9B">
        <w:rPr>
          <w:rFonts w:ascii="Verdana" w:hAnsi="Verdana"/>
          <w:lang w:val="is-IS" w:eastAsia="en-GB"/>
        </w:rPr>
        <w:t>Fasteignaskattur íbúðarhúsnæðis eins og þær eru skilgreindar í 3.gr. í lögum nr. 4/1995 verður 0,</w:t>
      </w:r>
      <w:r>
        <w:rPr>
          <w:rFonts w:ascii="Verdana" w:hAnsi="Verdana"/>
          <w:lang w:val="is-IS" w:eastAsia="en-GB"/>
        </w:rPr>
        <w:t>4</w:t>
      </w:r>
      <w:r w:rsidR="005267B9">
        <w:rPr>
          <w:rFonts w:ascii="Verdana" w:hAnsi="Verdana"/>
          <w:lang w:val="is-IS" w:eastAsia="en-GB"/>
        </w:rPr>
        <w:t>4</w:t>
      </w:r>
      <w:r w:rsidRPr="00775E9B">
        <w:rPr>
          <w:rFonts w:ascii="Verdana" w:hAnsi="Verdana"/>
          <w:lang w:val="is-IS" w:eastAsia="en-GB"/>
        </w:rPr>
        <w:t>% af heildar fasteignamati.</w:t>
      </w:r>
    </w:p>
    <w:p w:rsidRPr="00775E9B" w:rsidR="008231A5" w:rsidP="008231A5" w:rsidRDefault="008231A5" w14:paraId="30A3866C" w14:textId="77777777">
      <w:pPr>
        <w:spacing w:line="360" w:lineRule="auto"/>
        <w:ind w:left="2160" w:hanging="720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ii.</w:t>
      </w:r>
      <w:r w:rsidRPr="00775E9B">
        <w:rPr>
          <w:rFonts w:ascii="Verdana" w:hAnsi="Verdana"/>
          <w:lang w:val="is-IS" w:eastAsia="en-GB"/>
        </w:rPr>
        <w:tab/>
      </w:r>
      <w:r w:rsidRPr="00775E9B">
        <w:rPr>
          <w:rFonts w:ascii="Verdana" w:hAnsi="Verdana"/>
          <w:lang w:val="is-IS" w:eastAsia="en-GB"/>
        </w:rPr>
        <w:t>B – flokkur</w:t>
      </w:r>
      <w:r w:rsidRPr="00775E9B">
        <w:rPr>
          <w:rFonts w:ascii="Verdana" w:hAnsi="Verdana"/>
          <w:lang w:val="is-IS" w:eastAsia="en-GB"/>
        </w:rPr>
        <w:tab/>
      </w:r>
      <w:r w:rsidRPr="00775E9B">
        <w:rPr>
          <w:rFonts w:ascii="Verdana" w:hAnsi="Verdana"/>
          <w:lang w:val="is-IS" w:eastAsia="en-GB"/>
        </w:rPr>
        <w:t>Fasteignaskattur af opinberum byggingum eins og þær eru skilgreindar í 3.gr. í lögum nr. 4/1995 verður 1,32% af heildar fasteignamati.</w:t>
      </w:r>
    </w:p>
    <w:p w:rsidRPr="00775E9B" w:rsidR="008231A5" w:rsidP="008231A5" w:rsidRDefault="008231A5" w14:paraId="0C68B4D4" w14:textId="08DAD05D">
      <w:pPr>
        <w:spacing w:line="360" w:lineRule="auto"/>
        <w:ind w:left="2160" w:hanging="720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iii.</w:t>
      </w:r>
      <w:r w:rsidRPr="00775E9B">
        <w:rPr>
          <w:rFonts w:ascii="Verdana" w:hAnsi="Verdana"/>
          <w:lang w:val="is-IS" w:eastAsia="en-GB"/>
        </w:rPr>
        <w:tab/>
      </w:r>
      <w:r w:rsidRPr="00775E9B">
        <w:rPr>
          <w:rFonts w:ascii="Verdana" w:hAnsi="Verdana"/>
          <w:lang w:val="is-IS" w:eastAsia="en-GB"/>
        </w:rPr>
        <w:t>C – flokkur</w:t>
      </w:r>
      <w:r w:rsidRPr="00775E9B">
        <w:rPr>
          <w:rFonts w:ascii="Verdana" w:hAnsi="Verdana"/>
          <w:lang w:val="is-IS" w:eastAsia="en-GB"/>
        </w:rPr>
        <w:tab/>
      </w:r>
      <w:r w:rsidRPr="00775E9B">
        <w:rPr>
          <w:rFonts w:ascii="Verdana" w:hAnsi="Verdana"/>
          <w:lang w:val="is-IS" w:eastAsia="en-GB"/>
        </w:rPr>
        <w:t>Fasteignaskattur atvinnuhúsnæðis og öðrum eignum eins og þær eru skilgreindar í 3.gr. í lögum nr. 4/1995 verður 1,6</w:t>
      </w:r>
      <w:r w:rsidR="00486F43">
        <w:rPr>
          <w:rFonts w:ascii="Verdana" w:hAnsi="Verdana"/>
          <w:lang w:val="is-IS" w:eastAsia="en-GB"/>
        </w:rPr>
        <w:t>3</w:t>
      </w:r>
      <w:r w:rsidRPr="00775E9B">
        <w:rPr>
          <w:rFonts w:ascii="Verdana" w:hAnsi="Verdana"/>
          <w:lang w:val="is-IS" w:eastAsia="en-GB"/>
        </w:rPr>
        <w:t>% af heildar fasteignamati.</w:t>
      </w:r>
    </w:p>
    <w:p w:rsidRPr="00775E9B" w:rsidR="008231A5" w:rsidP="008231A5" w:rsidRDefault="008231A5" w14:paraId="27EDE975" w14:textId="77777777">
      <w:pPr>
        <w:spacing w:line="360" w:lineRule="auto"/>
        <w:ind w:left="2160" w:hanging="720"/>
        <w:rPr>
          <w:rFonts w:ascii="Verdana" w:hAnsi="Verdana"/>
          <w:lang w:val="is-IS" w:eastAsia="en-GB"/>
        </w:rPr>
      </w:pPr>
    </w:p>
    <w:p w:rsidRPr="00775E9B" w:rsidR="008231A5" w:rsidP="008231A5" w:rsidRDefault="008231A5" w14:paraId="6D21E912" w14:textId="77777777">
      <w:pPr>
        <w:spacing w:line="360" w:lineRule="auto"/>
        <w:ind w:left="2160" w:hanging="720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Sérstakur afsláttur er veittur af fasteignaskatti samkvæmt reglum um</w:t>
      </w:r>
    </w:p>
    <w:p w:rsidRPr="00775E9B" w:rsidR="008231A5" w:rsidP="008231A5" w:rsidRDefault="008231A5" w14:paraId="48F740E3" w14:textId="07693D5D">
      <w:pPr>
        <w:spacing w:line="360" w:lineRule="auto"/>
        <w:ind w:left="2160" w:hanging="720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 xml:space="preserve"> afslátt til elli- og örorkulífeyrisþega, sjá lið </w:t>
      </w:r>
      <w:r w:rsidR="00987E1B">
        <w:rPr>
          <w:rFonts w:ascii="Verdana" w:hAnsi="Verdana"/>
          <w:lang w:val="is-IS" w:eastAsia="en-GB"/>
        </w:rPr>
        <w:t>f</w:t>
      </w:r>
      <w:r w:rsidR="002C20A8">
        <w:rPr>
          <w:rFonts w:ascii="Verdana" w:hAnsi="Verdana"/>
          <w:lang w:val="is-IS" w:eastAsia="en-GB"/>
        </w:rPr>
        <w:t>.</w:t>
      </w:r>
      <w:r w:rsidRPr="00775E9B">
        <w:rPr>
          <w:rFonts w:ascii="Verdana" w:hAnsi="Verdana"/>
          <w:lang w:val="is-IS" w:eastAsia="en-GB"/>
        </w:rPr>
        <w:t xml:space="preserve"> hér að neðan.</w:t>
      </w:r>
    </w:p>
    <w:p w:rsidRPr="00775E9B" w:rsidR="008231A5" w:rsidP="008231A5" w:rsidRDefault="008231A5" w14:paraId="50812D4A" w14:textId="77777777">
      <w:pPr>
        <w:spacing w:line="360" w:lineRule="auto"/>
        <w:ind w:left="2160" w:hanging="720"/>
        <w:rPr>
          <w:rFonts w:ascii="Verdana" w:hAnsi="Verdana"/>
          <w:lang w:val="is-IS" w:eastAsia="en-GB"/>
        </w:rPr>
      </w:pPr>
    </w:p>
    <w:p w:rsidRPr="00775E9B" w:rsidR="008231A5" w:rsidP="008231A5" w:rsidRDefault="008231A5" w14:paraId="06B34E25" w14:textId="77777777">
      <w:pPr>
        <w:numPr>
          <w:ilvl w:val="1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Lóðarleiga</w:t>
      </w:r>
    </w:p>
    <w:p w:rsidRPr="00775E9B" w:rsidR="008231A5" w:rsidP="008231A5" w:rsidRDefault="008231A5" w14:paraId="27C9A840" w14:textId="77777777">
      <w:pPr>
        <w:numPr>
          <w:ilvl w:val="2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Almenn lóðarleiga verði 1,0% af fasteignamati lóðar.</w:t>
      </w:r>
    </w:p>
    <w:p w:rsidR="008231A5" w:rsidP="008231A5" w:rsidRDefault="008231A5" w14:paraId="7E486BAC" w14:textId="77777777">
      <w:pPr>
        <w:numPr>
          <w:ilvl w:val="2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775E9B">
        <w:rPr>
          <w:rFonts w:ascii="Verdana" w:hAnsi="Verdana"/>
          <w:lang w:val="is-IS" w:eastAsia="en-GB"/>
        </w:rPr>
        <w:t>Lóðarleiga ræktunarlands verði 3,0% af fasteignamati lóðar.</w:t>
      </w:r>
    </w:p>
    <w:p w:rsidR="002C20A8" w:rsidP="002C20A8" w:rsidRDefault="002C20A8" w14:paraId="704F249C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2C20A8" w:rsidP="002C20A8" w:rsidRDefault="002C20A8" w14:paraId="28B8B72E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2C20A8" w:rsidP="002C20A8" w:rsidRDefault="002C20A8" w14:paraId="3E46232F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2C20A8" w:rsidP="002C20A8" w:rsidRDefault="002C20A8" w14:paraId="2D2D6892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2C20A8" w:rsidP="002C20A8" w:rsidRDefault="002C20A8" w14:paraId="34D9A348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2C20A8" w:rsidP="002C20A8" w:rsidRDefault="002C20A8" w14:paraId="3D83E233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2C20A8" w:rsidP="002C20A8" w:rsidRDefault="002C20A8" w14:paraId="42039E36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2C20A8" w:rsidP="46B29231" w:rsidRDefault="002C20A8" w14:paraId="21CFEB9E" w14:textId="58D5A4B5">
      <w:pPr>
        <w:pStyle w:val="Normal"/>
        <w:spacing w:line="360" w:lineRule="auto"/>
        <w:ind w:left="450" w:hanging="450"/>
        <w:rPr>
          <w:b w:val="0"/>
          <w:bCs w:val="0"/>
        </w:rPr>
      </w:pPr>
      <w:r w:rsidR="62A83BA5">
        <w:rPr>
          <w:b w:val="0"/>
          <w:bCs w:val="0"/>
        </w:rPr>
        <w:t>*</w:t>
      </w:r>
      <w:r>
        <w:tab/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Um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samantekt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er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að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ræða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,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ef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það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er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misræmi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milli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samþykktrar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gjaldskrár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og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samatektar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gildir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samþykkt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 xml:space="preserve"> 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gjaldskrá</w:t>
      </w:r>
      <w:r w:rsidRPr="46B29231" w:rsidR="62A83BA5">
        <w:rPr>
          <w:rFonts w:ascii="Verdana" w:hAnsi="Verdana" w:eastAsia="Verdana" w:cs="Verdana"/>
          <w:b w:val="0"/>
          <w:bCs w:val="0"/>
          <w:i w:val="1"/>
          <w:iCs w:val="1"/>
          <w:sz w:val="18"/>
          <w:szCs w:val="18"/>
        </w:rPr>
        <w:t>.</w:t>
      </w:r>
    </w:p>
    <w:p w:rsidR="002C20A8" w:rsidP="46B29231" w:rsidRDefault="002C20A8" w14:paraId="43DAF230" w14:textId="61B45CFB">
      <w:pPr>
        <w:spacing w:line="360" w:lineRule="auto"/>
        <w:ind w:left="450" w:firstLine="0"/>
        <w:rPr>
          <w:rFonts w:ascii="Verdana" w:hAnsi="Verdana"/>
          <w:lang w:val="is-IS" w:eastAsia="en-GB"/>
        </w:rPr>
      </w:pPr>
    </w:p>
    <w:p w:rsidRPr="00775E9B" w:rsidR="002C20A8" w:rsidP="002C20A8" w:rsidRDefault="002C20A8" w14:paraId="648AD6DA" w14:textId="77777777">
      <w:pPr>
        <w:spacing w:line="360" w:lineRule="auto"/>
        <w:rPr>
          <w:rFonts w:ascii="Verdana" w:hAnsi="Verdana"/>
          <w:lang w:val="is-IS" w:eastAsia="en-GB"/>
        </w:rPr>
      </w:pPr>
    </w:p>
    <w:p w:rsidRPr="005A3289" w:rsidR="008231A5" w:rsidP="005A3289" w:rsidRDefault="008231A5" w14:paraId="75A57F83" w14:textId="0A9AAC9A">
      <w:pPr>
        <w:pStyle w:val="ListParagraph"/>
        <w:numPr>
          <w:ilvl w:val="1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5A3289">
        <w:rPr>
          <w:rFonts w:ascii="Verdana" w:hAnsi="Verdana"/>
          <w:lang w:val="is-IS" w:eastAsia="en-GB"/>
        </w:rPr>
        <w:t>Vatnsgjald </w:t>
      </w:r>
    </w:p>
    <w:p w:rsidRPr="008231A5" w:rsidR="008231A5" w:rsidP="005A3289" w:rsidRDefault="008231A5" w14:paraId="6919C683" w14:textId="359D84DF">
      <w:pPr>
        <w:numPr>
          <w:ilvl w:val="2"/>
          <w:numId w:val="1"/>
        </w:numPr>
        <w:tabs>
          <w:tab w:val="num" w:pos="720"/>
        </w:tabs>
        <w:spacing w:line="360" w:lineRule="auto"/>
        <w:rPr>
          <w:rFonts w:ascii="Verdana" w:hAnsi="Verdana"/>
          <w:lang w:val="is-IS" w:eastAsia="en-GB"/>
        </w:rPr>
      </w:pPr>
      <w:r w:rsidRPr="06EF7D79" w:rsidR="008231A5">
        <w:rPr>
          <w:rFonts w:ascii="Verdana" w:hAnsi="Verdana"/>
          <w:lang w:val="is-IS" w:eastAsia="en-GB"/>
        </w:rPr>
        <w:t>A - flokkur. Vatnsgjald á íbúðarhúsnæði eins og það eru skilgreint í 3. gr. í lögum nr. 4/1995 verður 0,</w:t>
      </w:r>
      <w:r w:rsidRPr="06EF7D79" w:rsidR="0018391F">
        <w:rPr>
          <w:rFonts w:ascii="Verdana" w:hAnsi="Verdana"/>
          <w:lang w:val="is-IS" w:eastAsia="en-GB"/>
        </w:rPr>
        <w:t>08</w:t>
      </w:r>
      <w:r w:rsidRPr="06EF7D79" w:rsidR="1AD14DB6">
        <w:rPr>
          <w:rFonts w:ascii="Verdana" w:hAnsi="Verdana"/>
          <w:lang w:val="is-IS" w:eastAsia="en-GB"/>
        </w:rPr>
        <w:t>06</w:t>
      </w:r>
      <w:r w:rsidRPr="06EF7D79" w:rsidR="008231A5">
        <w:rPr>
          <w:rFonts w:ascii="Verdana" w:hAnsi="Verdana"/>
          <w:lang w:val="is-IS" w:eastAsia="en-GB"/>
        </w:rPr>
        <w:t>% af heildar fasteignamati eignar. </w:t>
      </w:r>
    </w:p>
    <w:p w:rsidRPr="008231A5" w:rsidR="008231A5" w:rsidP="005A3289" w:rsidRDefault="008231A5" w14:paraId="1CE18E99" w14:textId="7084D24B">
      <w:pPr>
        <w:numPr>
          <w:ilvl w:val="2"/>
          <w:numId w:val="1"/>
        </w:numPr>
        <w:tabs>
          <w:tab w:val="num" w:pos="720"/>
        </w:tabs>
        <w:spacing w:line="360" w:lineRule="auto"/>
        <w:rPr>
          <w:rFonts w:ascii="Verdana" w:hAnsi="Verdana"/>
          <w:lang w:val="is-IS" w:eastAsia="en-GB"/>
        </w:rPr>
      </w:pPr>
      <w:r w:rsidRPr="008231A5">
        <w:rPr>
          <w:rFonts w:ascii="Verdana" w:hAnsi="Verdana"/>
          <w:lang w:val="is-IS" w:eastAsia="en-GB"/>
        </w:rPr>
        <w:t>B - flokkur. Vatnsgjald á opinberar byggingar eins og þær eru skilgreindar í 3. gr. í lögum nr. 4/1995 verður 0,</w:t>
      </w:r>
      <w:r w:rsidR="0018391F">
        <w:rPr>
          <w:rFonts w:ascii="Verdana" w:hAnsi="Verdana"/>
          <w:lang w:val="is-IS" w:eastAsia="en-GB"/>
        </w:rPr>
        <w:t>162</w:t>
      </w:r>
      <w:r w:rsidRPr="008231A5">
        <w:rPr>
          <w:rFonts w:ascii="Verdana" w:hAnsi="Verdana"/>
          <w:lang w:val="is-IS" w:eastAsia="en-GB"/>
        </w:rPr>
        <w:t>% af heildar fasteignamati eignar. </w:t>
      </w:r>
    </w:p>
    <w:p w:rsidRPr="008231A5" w:rsidR="008231A5" w:rsidP="005A3289" w:rsidRDefault="008231A5" w14:paraId="1428327D" w14:textId="2ABEB0C1">
      <w:pPr>
        <w:numPr>
          <w:ilvl w:val="2"/>
          <w:numId w:val="1"/>
        </w:numPr>
        <w:tabs>
          <w:tab w:val="num" w:pos="720"/>
        </w:tabs>
        <w:spacing w:line="360" w:lineRule="auto"/>
        <w:rPr>
          <w:rFonts w:ascii="Verdana" w:hAnsi="Verdana"/>
          <w:lang w:val="is-IS" w:eastAsia="en-GB"/>
        </w:rPr>
      </w:pPr>
      <w:r w:rsidRPr="008231A5">
        <w:rPr>
          <w:rFonts w:ascii="Verdana" w:hAnsi="Verdana"/>
          <w:lang w:val="is-IS" w:eastAsia="en-GB"/>
        </w:rPr>
        <w:t>C - flokkur. Vatnsgjald á atvinnuhúsnæði og aðrar eignir eins og þær eru skilgreindar í 3. gr. í lögum nr. 4/1995 verður 0,1</w:t>
      </w:r>
      <w:r w:rsidR="00AC441C">
        <w:rPr>
          <w:rFonts w:ascii="Verdana" w:hAnsi="Verdana"/>
          <w:lang w:val="is-IS" w:eastAsia="en-GB"/>
        </w:rPr>
        <w:t>62</w:t>
      </w:r>
      <w:r w:rsidRPr="008231A5">
        <w:rPr>
          <w:rFonts w:ascii="Verdana" w:hAnsi="Verdana"/>
          <w:lang w:val="is-IS" w:eastAsia="en-GB"/>
        </w:rPr>
        <w:t>% af heildar fasteignamati eignar. </w:t>
      </w:r>
    </w:p>
    <w:p w:rsidRPr="008231A5" w:rsidR="008231A5" w:rsidP="158812F7" w:rsidRDefault="008231A5" w14:paraId="7227EA86" w14:textId="3F325A37">
      <w:pPr>
        <w:numPr>
          <w:ilvl w:val="2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158812F7" w:rsidR="008231A5">
        <w:rPr>
          <w:rFonts w:ascii="Verdana" w:hAnsi="Verdana"/>
          <w:lang w:val="is-IS" w:eastAsia="en-GB"/>
        </w:rPr>
        <w:t> </w:t>
      </w:r>
      <w:r w:rsidRPr="158812F7" w:rsidR="008231A5">
        <w:rPr>
          <w:rFonts w:ascii="Verdana" w:hAnsi="Verdana"/>
          <w:lang w:val="is-IS" w:eastAsia="en-GB"/>
        </w:rPr>
        <w:t>Notkunargjald er lagt á á atvinnuhúsnæði samkvæmt mæli og leggst á  m³ notkun</w:t>
      </w:r>
      <w:r w:rsidRPr="158812F7" w:rsidR="00C7689C">
        <w:rPr>
          <w:rFonts w:ascii="Verdana" w:hAnsi="Verdana"/>
          <w:lang w:val="is-IS" w:eastAsia="en-GB"/>
        </w:rPr>
        <w:t xml:space="preserve"> skv. gildandi gjaldskrá</w:t>
      </w:r>
      <w:r w:rsidRPr="158812F7" w:rsidR="008231A5">
        <w:rPr>
          <w:rFonts w:ascii="Verdana" w:hAnsi="Verdana"/>
          <w:lang w:val="is-IS" w:eastAsia="en-GB"/>
        </w:rPr>
        <w:t>. </w:t>
      </w:r>
    </w:p>
    <w:p w:rsidRPr="008231A5" w:rsidR="008231A5" w:rsidP="005A3289" w:rsidRDefault="008231A5" w14:paraId="005CF984" w14:textId="77777777">
      <w:pPr>
        <w:spacing w:line="360" w:lineRule="auto"/>
        <w:ind w:left="2160"/>
        <w:rPr>
          <w:rFonts w:ascii="Verdana" w:hAnsi="Verdana"/>
          <w:lang w:val="is-IS" w:eastAsia="en-GB"/>
        </w:rPr>
      </w:pPr>
      <w:r w:rsidRPr="008231A5">
        <w:rPr>
          <w:rFonts w:ascii="Verdana" w:hAnsi="Verdana"/>
          <w:lang w:val="is-IS" w:eastAsia="en-GB"/>
        </w:rPr>
        <w:t> </w:t>
      </w:r>
    </w:p>
    <w:p w:rsidRPr="005A3289" w:rsidR="008231A5" w:rsidP="005A3289" w:rsidRDefault="008231A5" w14:paraId="09DCE08C" w14:textId="1EA2815A">
      <w:pPr>
        <w:pStyle w:val="ListParagraph"/>
        <w:numPr>
          <w:ilvl w:val="1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5A3289">
        <w:rPr>
          <w:rFonts w:ascii="Verdana" w:hAnsi="Verdana"/>
          <w:lang w:val="is-IS" w:eastAsia="en-GB"/>
        </w:rPr>
        <w:t>Fráveitugjald </w:t>
      </w:r>
    </w:p>
    <w:p w:rsidRPr="008231A5" w:rsidR="008231A5" w:rsidP="005A3289" w:rsidRDefault="008231A5" w14:paraId="799F190C" w14:textId="418BDDE0">
      <w:pPr>
        <w:numPr>
          <w:ilvl w:val="2"/>
          <w:numId w:val="1"/>
        </w:numPr>
        <w:tabs>
          <w:tab w:val="num" w:pos="720"/>
        </w:tabs>
        <w:spacing w:line="360" w:lineRule="auto"/>
        <w:rPr>
          <w:rFonts w:ascii="Verdana" w:hAnsi="Verdana"/>
          <w:lang w:val="is-IS" w:eastAsia="en-GB"/>
        </w:rPr>
      </w:pPr>
      <w:r w:rsidRPr="008231A5">
        <w:rPr>
          <w:rFonts w:ascii="Verdana" w:hAnsi="Verdana"/>
          <w:lang w:val="is-IS" w:eastAsia="en-GB"/>
        </w:rPr>
        <w:t>A - flokkur. Fráveitugjald á íbúðarhúsnæði eins og það eru skilgreint í 3. gr. í lögum nr. 4/1995 verður 0,</w:t>
      </w:r>
      <w:r w:rsidR="00AC441C">
        <w:rPr>
          <w:rFonts w:ascii="Verdana" w:hAnsi="Verdana"/>
          <w:lang w:val="is-IS" w:eastAsia="en-GB"/>
        </w:rPr>
        <w:t>0806</w:t>
      </w:r>
      <w:r w:rsidRPr="008231A5">
        <w:rPr>
          <w:rFonts w:ascii="Verdana" w:hAnsi="Verdana"/>
          <w:lang w:val="is-IS" w:eastAsia="en-GB"/>
        </w:rPr>
        <w:t>% af heildar fasteignamati eignar. </w:t>
      </w:r>
    </w:p>
    <w:p w:rsidRPr="008231A5" w:rsidR="008231A5" w:rsidP="005A3289" w:rsidRDefault="008231A5" w14:paraId="6790E6CC" w14:textId="7E9CBEAA">
      <w:pPr>
        <w:numPr>
          <w:ilvl w:val="2"/>
          <w:numId w:val="1"/>
        </w:numPr>
        <w:tabs>
          <w:tab w:val="num" w:pos="720"/>
        </w:tabs>
        <w:spacing w:line="360" w:lineRule="auto"/>
        <w:rPr>
          <w:rFonts w:ascii="Verdana" w:hAnsi="Verdana"/>
          <w:lang w:val="is-IS" w:eastAsia="en-GB"/>
        </w:rPr>
      </w:pPr>
      <w:r w:rsidRPr="008231A5">
        <w:rPr>
          <w:rFonts w:ascii="Verdana" w:hAnsi="Verdana"/>
          <w:lang w:val="is-IS" w:eastAsia="en-GB"/>
        </w:rPr>
        <w:t>B - flokkur. Fráveitugjald á opinberar byggingar eins og þær eru skilgreindar í 3. gr. í lögum nr. 4/1995 verður 0,1</w:t>
      </w:r>
      <w:r w:rsidR="00621431">
        <w:rPr>
          <w:rFonts w:ascii="Verdana" w:hAnsi="Verdana"/>
          <w:lang w:val="is-IS" w:eastAsia="en-GB"/>
        </w:rPr>
        <w:t>7</w:t>
      </w:r>
      <w:r w:rsidRPr="008231A5">
        <w:rPr>
          <w:rFonts w:ascii="Verdana" w:hAnsi="Verdana"/>
          <w:lang w:val="is-IS" w:eastAsia="en-GB"/>
        </w:rPr>
        <w:t>% af heildar fasteignamati eignar. </w:t>
      </w:r>
    </w:p>
    <w:p w:rsidRPr="008231A5" w:rsidR="008231A5" w:rsidP="000D53AB" w:rsidRDefault="008231A5" w14:paraId="5106E9F7" w14:textId="13503CE8">
      <w:pPr>
        <w:numPr>
          <w:ilvl w:val="2"/>
          <w:numId w:val="1"/>
        </w:numPr>
        <w:tabs>
          <w:tab w:val="num" w:pos="720"/>
        </w:tabs>
        <w:spacing w:line="360" w:lineRule="auto"/>
        <w:rPr>
          <w:rFonts w:ascii="Verdana" w:hAnsi="Verdana"/>
          <w:lang w:val="is-IS" w:eastAsia="en-GB"/>
        </w:rPr>
      </w:pPr>
      <w:r w:rsidRPr="008231A5">
        <w:rPr>
          <w:rFonts w:ascii="Verdana" w:hAnsi="Verdana"/>
          <w:lang w:val="is-IS" w:eastAsia="en-GB"/>
        </w:rPr>
        <w:t>C - flokkur. Fráveitugjald á atvinnuhúsnæði og aðrar eignir eins og þær eru skilgreindar í 3. gr. í lögum nr. 4/1995 verður 0,1</w:t>
      </w:r>
      <w:r w:rsidR="00621431">
        <w:rPr>
          <w:rFonts w:ascii="Verdana" w:hAnsi="Verdana"/>
          <w:lang w:val="is-IS" w:eastAsia="en-GB"/>
        </w:rPr>
        <w:t>7</w:t>
      </w:r>
      <w:r w:rsidRPr="008231A5">
        <w:rPr>
          <w:rFonts w:ascii="Verdana" w:hAnsi="Verdana"/>
          <w:lang w:val="is-IS" w:eastAsia="en-GB"/>
        </w:rPr>
        <w:t>% af heildar fasteignamati eignar. </w:t>
      </w:r>
    </w:p>
    <w:p w:rsidRPr="008231A5" w:rsidR="008231A5" w:rsidP="008231A5" w:rsidRDefault="008231A5" w14:paraId="114A89C4" w14:textId="77777777">
      <w:pPr>
        <w:numPr>
          <w:ilvl w:val="0"/>
          <w:numId w:val="11"/>
        </w:numPr>
        <w:tabs>
          <w:tab w:val="num" w:pos="720"/>
        </w:tabs>
        <w:rPr>
          <w:rFonts w:ascii="Verdana" w:hAnsi="Verdana"/>
          <w:lang w:val="is-IS" w:eastAsia="en-GB"/>
        </w:rPr>
      </w:pPr>
      <w:r w:rsidRPr="008231A5">
        <w:rPr>
          <w:rFonts w:ascii="Verdana" w:hAnsi="Verdana"/>
          <w:lang w:val="is-IS" w:eastAsia="en-GB"/>
        </w:rPr>
        <w:t>Gjald fyrir hreinsun rotþróa verður skv. gildandi gjaldskrá. </w:t>
      </w:r>
    </w:p>
    <w:p w:rsidR="00CD58C2" w:rsidP="008231A5" w:rsidRDefault="00CD58C2" w14:paraId="5284325E" w14:textId="1978BEE5">
      <w:pPr>
        <w:rPr>
          <w:rFonts w:ascii="Verdana" w:hAnsi="Verdana"/>
          <w:lang w:val="is-IS" w:eastAsia="en-GB"/>
        </w:rPr>
      </w:pPr>
    </w:p>
    <w:p w:rsidR="00303A7A" w:rsidP="008231A5" w:rsidRDefault="00303A7A" w14:paraId="356B8D7E" w14:textId="77777777">
      <w:pPr>
        <w:rPr>
          <w:rFonts w:ascii="Verdana" w:hAnsi="Verdana"/>
          <w:lang w:val="is-IS" w:eastAsia="en-GB"/>
        </w:rPr>
      </w:pPr>
    </w:p>
    <w:p w:rsidRPr="00303A7A" w:rsidR="00303A7A" w:rsidP="00303A7A" w:rsidRDefault="00303A7A" w14:paraId="3174827F" w14:textId="77777777">
      <w:pPr>
        <w:pStyle w:val="ListParagraph"/>
        <w:numPr>
          <w:ilvl w:val="1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303A7A">
        <w:rPr>
          <w:rFonts w:ascii="Verdana" w:hAnsi="Verdana"/>
          <w:lang w:val="is-IS" w:eastAsia="en-GB"/>
        </w:rPr>
        <w:t>Gjaldskrá um meðhöndlun úrgangs </w:t>
      </w:r>
    </w:p>
    <w:p w:rsidRPr="00303A7A" w:rsidR="00303A7A" w:rsidP="00303A7A" w:rsidRDefault="00303A7A" w14:paraId="5DBEFEAD" w14:textId="5C20B62D">
      <w:pPr>
        <w:pStyle w:val="ListParagraph"/>
        <w:numPr>
          <w:ilvl w:val="2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303A7A">
        <w:rPr>
          <w:rFonts w:ascii="Verdana" w:hAnsi="Verdana"/>
          <w:lang w:val="is-IS" w:eastAsia="en-GB"/>
        </w:rPr>
        <w:t>Íbúðarhúsnæði </w:t>
      </w:r>
    </w:p>
    <w:p w:rsidRPr="00303A7A" w:rsidR="00303A7A" w:rsidP="00303A7A" w:rsidRDefault="00303A7A" w14:paraId="033D2A10" w14:textId="5C36B25E">
      <w:pPr>
        <w:pStyle w:val="ListParagraph"/>
        <w:numPr>
          <w:ilvl w:val="2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303A7A">
        <w:rPr>
          <w:rFonts w:ascii="Verdana" w:hAnsi="Verdana"/>
          <w:lang w:val="is-IS" w:eastAsia="en-GB"/>
        </w:rPr>
        <w:t>Á grundvelli 5. mgr. 59. gr. laga nr. 7/1998 er lagt gjald á hverja íbúð vegna meðhöndlunar úrgangs og skolps. Gjald fyrir hverja íbúð skal vera sem hér greinir : </w:t>
      </w:r>
    </w:p>
    <w:p w:rsidR="00303A7A" w:rsidP="00A65705" w:rsidRDefault="00303A7A" w14:paraId="34DB9505" w14:textId="3D53594D">
      <w:pPr>
        <w:pStyle w:val="ListParagraph"/>
        <w:spacing w:line="360" w:lineRule="auto"/>
        <w:ind w:left="1440"/>
        <w:rPr>
          <w:rFonts w:ascii="Verdana" w:hAnsi="Verdana"/>
          <w:lang w:val="is-IS" w:eastAsia="en-GB"/>
        </w:rPr>
      </w:pPr>
    </w:p>
    <w:p w:rsidR="00276135" w:rsidP="00276135" w:rsidRDefault="00276135" w14:paraId="25C745AA" w14:textId="4195AD7F">
      <w:pPr>
        <w:pStyle w:val="ListParagraph"/>
        <w:spacing w:line="360" w:lineRule="auto"/>
        <w:ind w:left="1440"/>
        <w:rPr>
          <w:rFonts w:ascii="Verdana" w:hAnsi="Verdana"/>
          <w:lang w:val="is-IS" w:eastAsia="en-GB"/>
        </w:rPr>
      </w:pPr>
    </w:p>
    <w:p w:rsidR="000240A1" w:rsidP="00276135" w:rsidRDefault="000240A1" w14:paraId="1CADE31A" w14:textId="77777777">
      <w:pPr>
        <w:pStyle w:val="ListParagraph"/>
        <w:spacing w:line="360" w:lineRule="auto"/>
        <w:ind w:left="1440"/>
        <w:rPr>
          <w:rFonts w:ascii="Verdana" w:hAnsi="Verdana"/>
          <w:lang w:val="is-IS" w:eastAsia="en-GB"/>
        </w:rPr>
      </w:pPr>
    </w:p>
    <w:p w:rsidRPr="00A65705" w:rsidR="00A65705" w:rsidP="00A65705" w:rsidRDefault="00A65705" w14:paraId="54B22B2F" w14:textId="28F52461">
      <w:pPr>
        <w:pStyle w:val="ListParagraph"/>
        <w:spacing w:line="360" w:lineRule="auto"/>
        <w:ind w:left="1440"/>
        <w:rPr>
          <w:rFonts w:ascii="Verdana" w:hAnsi="Verdana"/>
          <w:lang w:val="is-IS" w:eastAsia="en-GB"/>
        </w:rPr>
      </w:pPr>
      <w:r w:rsidRPr="00A65705">
        <w:rPr>
          <w:rFonts w:ascii="Verdana" w:hAnsi="Verdana"/>
          <w:lang w:val="is-IS" w:eastAsia="en-GB"/>
        </w:rPr>
        <w:t> </w:t>
      </w:r>
    </w:p>
    <w:p w:rsidR="002B685B" w:rsidP="00A65705" w:rsidRDefault="002B685B" w14:paraId="5269077C" w14:textId="2713A3D8">
      <w:pPr>
        <w:spacing w:line="360" w:lineRule="auto"/>
        <w:rPr>
          <w:rFonts w:ascii="Verdana" w:hAnsi="Verdana"/>
          <w:lang w:val="is-IS" w:eastAsia="en-GB"/>
        </w:rPr>
      </w:pPr>
    </w:p>
    <w:p w:rsidR="000240A1" w:rsidP="000240A1" w:rsidRDefault="000240A1" w14:paraId="3E6D4D5E" w14:textId="77777777">
      <w:pPr>
        <w:pStyle w:val="ListParagraph"/>
        <w:spacing w:line="360" w:lineRule="auto"/>
        <w:ind w:left="1440"/>
        <w:rPr>
          <w:rFonts w:ascii="Verdana" w:hAnsi="Verdana"/>
          <w:lang w:val="is-IS" w:eastAsia="en-GB"/>
        </w:rPr>
      </w:pPr>
    </w:p>
    <w:p w:rsidR="00871B50" w:rsidP="000240A1" w:rsidRDefault="008E726E" w14:paraId="6E76CBFD" w14:textId="0C823A29">
      <w:pPr>
        <w:spacing w:line="360" w:lineRule="auto"/>
        <w:rPr>
          <w:rFonts w:ascii="Verdana" w:hAnsi="Verdana"/>
          <w:lang w:val="is-IS" w:eastAsia="en-GB"/>
        </w:rPr>
      </w:pPr>
      <w:r w:rsidRPr="008E726E">
        <w:rPr>
          <w:rFonts w:ascii="Verdana" w:hAnsi="Verdana"/>
          <w:lang w:val="is-IS" w:eastAsia="en-GB"/>
        </w:rPr>
        <w:drawing>
          <wp:inline distT="0" distB="0" distL="0" distR="0" wp14:anchorId="0E7271CD" wp14:editId="554293C9">
            <wp:extent cx="6555740" cy="7965440"/>
            <wp:effectExtent l="0" t="0" r="0" b="0"/>
            <wp:docPr id="579963443" name="Picture 1" descr="A document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63443" name="Picture 1" descr="A document with numbers and lett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796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0A1" w:rsidP="000240A1" w:rsidRDefault="000240A1" w14:paraId="023DDA88" w14:textId="17443588">
      <w:pPr>
        <w:spacing w:line="360" w:lineRule="auto"/>
        <w:rPr>
          <w:rFonts w:ascii="Verdana" w:hAnsi="Verdana"/>
          <w:lang w:val="is-IS" w:eastAsia="en-GB"/>
        </w:rPr>
      </w:pPr>
      <w:r w:rsidRPr="00A65705">
        <w:rPr>
          <w:rFonts w:ascii="Verdana" w:hAnsi="Verdana"/>
          <w:lang w:val="is-IS" w:eastAsia="en-GB"/>
        </w:rPr>
        <w:t>Fast gjald er lagt á allar fasteignir sveitarfélagsins til að standa straum af veittri þjónustu tengdri málaflokknum og er ekki beintengt úrgangsmagni s.s umsýsla, fræðsla, hreinsun rusls á víðavangi, rekstur grenndarstöðva og aðgengi að gámasvæði með gjaldfrjálsan úrgang.  </w:t>
      </w:r>
    </w:p>
    <w:p w:rsidR="00871B50" w:rsidP="00871B50" w:rsidRDefault="00871B50" w14:paraId="08327ED4" w14:textId="77777777">
      <w:pPr>
        <w:spacing w:line="360" w:lineRule="auto"/>
        <w:rPr>
          <w:rFonts w:ascii="Verdana" w:hAnsi="Verdana"/>
          <w:lang w:val="is-IS" w:eastAsia="en-GB"/>
        </w:rPr>
      </w:pPr>
    </w:p>
    <w:p w:rsidRPr="00A65705" w:rsidR="00871B50" w:rsidP="00871B50" w:rsidRDefault="00871B50" w14:paraId="1F9E534B" w14:textId="1D19F757">
      <w:pPr>
        <w:spacing w:line="360" w:lineRule="auto"/>
        <w:rPr>
          <w:rFonts w:ascii="Verdana" w:hAnsi="Verdana"/>
          <w:lang w:val="is-IS" w:eastAsia="en-GB"/>
        </w:rPr>
      </w:pPr>
      <w:r w:rsidRPr="00A65705">
        <w:rPr>
          <w:rFonts w:ascii="Verdana" w:hAnsi="Verdana"/>
          <w:lang w:val="is-IS" w:eastAsia="en-GB"/>
        </w:rPr>
        <w:t>Álagningin er á fasteignir í a-, b- og c-lið samkvæmt 3. gr. laga um tekjustofna sveitarfélaga nr. 4/1995, sbr. eftirfarandi: </w:t>
      </w:r>
    </w:p>
    <w:p w:rsidRPr="00A65705" w:rsidR="00871B50" w:rsidP="000240A1" w:rsidRDefault="00871B50" w14:paraId="2E4EC9BE" w14:noSpellErr="1" w14:textId="5975D6D1">
      <w:pPr>
        <w:spacing w:line="360" w:lineRule="auto"/>
        <w:rPr>
          <w:rFonts w:ascii="Verdana" w:hAnsi="Verdana"/>
          <w:lang w:val="is-IS" w:eastAsia="en-GB"/>
        </w:rPr>
      </w:pPr>
    </w:p>
    <w:p w:rsidR="00E21E1A" w:rsidP="00FB715E" w:rsidRDefault="00E21E1A" w14:paraId="71FA4ADF" w14:textId="34275112">
      <w:pPr>
        <w:rPr>
          <w:rFonts w:ascii="Verdana" w:hAnsi="Verdana"/>
          <w:lang w:val="is-IS" w:eastAsia="en-GB"/>
        </w:rPr>
      </w:pPr>
      <w:r w:rsidRPr="002666E8">
        <w:rPr>
          <w:rFonts w:ascii="Verdana" w:hAnsi="Verdana"/>
          <w:lang w:val="is-IS" w:eastAsia="en-GB"/>
        </w:rPr>
        <w:drawing>
          <wp:anchor distT="0" distB="0" distL="114300" distR="114300" simplePos="0" relativeHeight="251660288" behindDoc="0" locked="0" layoutInCell="1" allowOverlap="1" wp14:anchorId="46AAC187" wp14:editId="635DE512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5915851" cy="1933845"/>
            <wp:effectExtent l="0" t="0" r="8890" b="9525"/>
            <wp:wrapSquare wrapText="bothSides"/>
            <wp:docPr id="1425127609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27609" name="Picture 1" descr="A white background with black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E1A" w:rsidP="00FB715E" w:rsidRDefault="00E21E1A" w14:paraId="59703A85" w14:textId="77777777">
      <w:pPr>
        <w:rPr>
          <w:rFonts w:ascii="Verdana" w:hAnsi="Verdana"/>
          <w:lang w:val="is-IS" w:eastAsia="en-GB"/>
        </w:rPr>
      </w:pPr>
    </w:p>
    <w:p w:rsidR="00E21E1A" w:rsidP="00FB715E" w:rsidRDefault="00E21E1A" w14:paraId="2DFF9DAE" w14:noSpellErr="1" w14:textId="5D9A210F">
      <w:pPr>
        <w:rPr>
          <w:rFonts w:ascii="Verdana" w:hAnsi="Verdana"/>
          <w:lang w:val="is-IS" w:eastAsia="en-GB"/>
        </w:rPr>
      </w:pPr>
    </w:p>
    <w:p w:rsidRPr="00FB715E" w:rsidR="00FB715E" w:rsidP="00FB715E" w:rsidRDefault="00FB715E" w14:paraId="7D513554" w14:textId="0CAAF008">
      <w:pPr>
        <w:spacing w:line="360" w:lineRule="auto"/>
        <w:rPr>
          <w:rFonts w:ascii="Verdana" w:hAnsi="Verdana"/>
          <w:lang w:val="is-IS" w:eastAsia="en-GB"/>
        </w:rPr>
      </w:pPr>
      <w:r w:rsidRPr="00FB715E">
        <w:rPr>
          <w:rFonts w:ascii="Verdana" w:hAnsi="Verdana"/>
          <w:lang w:val="is-IS" w:eastAsia="en-GB"/>
        </w:rPr>
        <w:t>Gjaldið skal innheimt með fasteignagjöldum og er gjalddagi gjalds fyrir meðhöndlun úrgangs hinn sami og fasteignagjalda. Gjaldið nýtur lögveðsréttar í lóð og mannvirkjum næstu tvö ár eftir gjalddaga með forgangsrétti fyrir hverskonar samningsveði og aðfararveði. </w:t>
      </w:r>
    </w:p>
    <w:p w:rsidRPr="00FB715E" w:rsidR="00FB715E" w:rsidP="00FB715E" w:rsidRDefault="00FB715E" w14:paraId="2F77DFE3" w14:textId="2169F465">
      <w:pPr>
        <w:spacing w:line="360" w:lineRule="auto"/>
        <w:rPr>
          <w:rFonts w:ascii="Verdana" w:hAnsi="Verdana"/>
          <w:lang w:val="is-IS" w:eastAsia="en-GB"/>
        </w:rPr>
      </w:pPr>
      <w:r w:rsidRPr="00FB715E">
        <w:rPr>
          <w:rFonts w:ascii="Verdana" w:hAnsi="Verdana"/>
          <w:lang w:val="is-IS" w:eastAsia="en-GB"/>
        </w:rPr>
        <w:t> </w:t>
      </w:r>
    </w:p>
    <w:p w:rsidR="007E0339" w:rsidP="00FB715E" w:rsidRDefault="007E0339" w14:paraId="55370D3D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7E0339" w:rsidP="00FB715E" w:rsidRDefault="007E0339" w14:paraId="7795B564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7E0339" w:rsidP="00FB715E" w:rsidRDefault="007E0339" w14:paraId="0FE0332D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7E0339" w:rsidP="00FB715E" w:rsidRDefault="007E0339" w14:paraId="5F5DD50E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7E0339" w:rsidP="00FB715E" w:rsidRDefault="007E0339" w14:paraId="395D9DEF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7E0339" w:rsidP="00FB715E" w:rsidRDefault="007E0339" w14:paraId="7F373567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7E0339" w:rsidP="00FB715E" w:rsidRDefault="007E0339" w14:paraId="59505968" w14:textId="77777777">
      <w:pPr>
        <w:spacing w:line="360" w:lineRule="auto"/>
        <w:rPr>
          <w:rFonts w:ascii="Verdana" w:hAnsi="Verdana"/>
          <w:lang w:val="is-IS" w:eastAsia="en-GB"/>
        </w:rPr>
      </w:pPr>
    </w:p>
    <w:p w:rsidR="00FB715E" w:rsidP="0C8A85B3" w:rsidRDefault="00FB715E" w14:paraId="3B59C6D1" w14:textId="61BD143B">
      <w:pPr>
        <w:spacing w:line="360" w:lineRule="auto"/>
        <w:rPr>
          <w:rFonts w:ascii="Verdana" w:hAnsi="Verdana"/>
          <w:lang w:val="is-IS" w:eastAsia="en-GB"/>
        </w:rPr>
      </w:pPr>
    </w:p>
    <w:p w:rsidR="00FB715E" w:rsidP="00FB715E" w:rsidRDefault="00FB715E" w14:paraId="27855A39" w14:textId="52BBC6E8">
      <w:pPr>
        <w:spacing w:line="360" w:lineRule="auto"/>
      </w:pPr>
      <w:r>
        <w:br w:type="page"/>
      </w:r>
    </w:p>
    <w:p w:rsidR="00FB715E" w:rsidP="0C8A85B3" w:rsidRDefault="00FB715E" w14:paraId="24D4D16C" w14:textId="0D58F604">
      <w:pPr>
        <w:pStyle w:val="Normal"/>
        <w:spacing w:line="360" w:lineRule="auto"/>
        <w:rPr>
          <w:rFonts w:ascii="Verdana" w:hAnsi="Verdana"/>
          <w:lang w:val="is-IS" w:eastAsia="en-GB"/>
        </w:rPr>
      </w:pPr>
      <w:r w:rsidRPr="0C8A85B3" w:rsidR="00FB715E">
        <w:rPr>
          <w:rFonts w:ascii="Verdana" w:hAnsi="Verdana"/>
          <w:lang w:val="is-IS" w:eastAsia="en-GB"/>
        </w:rPr>
        <w:t>Gjalddagar fasteignagjalda verði 11 talsins, þeir eru: 1. febrúar, 1. mars, 1. apríl, 1. maí, 1. júní, 1. júlí, 1. ágúst, 1. september, 1. október, 1. nóvember og 1. desember. Eindagi er 30 dögum síðar. </w:t>
      </w:r>
    </w:p>
    <w:p w:rsidRPr="00FB715E" w:rsidR="0037534A" w:rsidP="00FB715E" w:rsidRDefault="0037534A" w14:paraId="4439A0F8" w14:textId="63130E4C">
      <w:pPr>
        <w:spacing w:line="360" w:lineRule="auto"/>
        <w:rPr>
          <w:rFonts w:ascii="Verdana" w:hAnsi="Verdana"/>
          <w:lang w:val="is-IS" w:eastAsia="en-GB"/>
        </w:rPr>
      </w:pPr>
    </w:p>
    <w:p w:rsidRPr="00FB715E" w:rsidR="00FB715E" w:rsidP="00FB715E" w:rsidRDefault="00FB715E" w14:paraId="1372DA6E" w14:textId="77777777">
      <w:pPr>
        <w:spacing w:line="360" w:lineRule="auto"/>
        <w:rPr>
          <w:rFonts w:ascii="Verdana" w:hAnsi="Verdana"/>
          <w:lang w:val="is-IS" w:eastAsia="en-GB"/>
        </w:rPr>
      </w:pPr>
      <w:r w:rsidRPr="00FB715E">
        <w:rPr>
          <w:rFonts w:ascii="Verdana" w:hAnsi="Verdana"/>
          <w:lang w:val="is-IS" w:eastAsia="en-GB"/>
        </w:rPr>
        <w:t> </w:t>
      </w:r>
    </w:p>
    <w:p w:rsidRPr="0037534A" w:rsidR="00FB715E" w:rsidP="0037534A" w:rsidRDefault="00FB715E" w14:paraId="6E987A9E" w14:textId="56AF4677">
      <w:pPr>
        <w:pStyle w:val="ListParagraph"/>
        <w:numPr>
          <w:ilvl w:val="1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37534A">
        <w:rPr>
          <w:rFonts w:ascii="Verdana" w:hAnsi="Verdana"/>
          <w:lang w:val="is-IS" w:eastAsia="en-GB"/>
        </w:rPr>
        <w:t>Afslættir </w:t>
      </w:r>
    </w:p>
    <w:p w:rsidRPr="00FB715E" w:rsidR="00FB715E" w:rsidP="00FB715E" w:rsidRDefault="00FB715E" w14:paraId="6AA502AC" w14:textId="3C5BA2E1">
      <w:pPr>
        <w:pStyle w:val="ListParagraph"/>
        <w:numPr>
          <w:ilvl w:val="2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FB715E">
        <w:rPr>
          <w:rFonts w:ascii="Verdana" w:hAnsi="Verdana"/>
          <w:lang w:val="is-IS" w:eastAsia="en-GB"/>
        </w:rPr>
        <w:t xml:space="preserve">Sérstakur afsláttur fyrir elli- og örorkulífeyrisþega verður veittur við álagningu fasteignaskatts á íbúðarhúsnæði skv. reglum þar um. </w:t>
      </w:r>
    </w:p>
    <w:p w:rsidRPr="00FB715E" w:rsidR="00FB715E" w:rsidP="00FB715E" w:rsidRDefault="00FB715E" w14:paraId="57646350" w14:textId="4BE68F9A">
      <w:pPr>
        <w:pStyle w:val="ListParagraph"/>
        <w:numPr>
          <w:ilvl w:val="2"/>
          <w:numId w:val="1"/>
        </w:numPr>
        <w:spacing w:line="360" w:lineRule="auto"/>
        <w:rPr>
          <w:rFonts w:ascii="Verdana" w:hAnsi="Verdana"/>
          <w:lang w:val="is-IS" w:eastAsia="en-GB"/>
        </w:rPr>
      </w:pPr>
      <w:r w:rsidRPr="00FB715E">
        <w:rPr>
          <w:rFonts w:ascii="Verdana" w:hAnsi="Verdana"/>
          <w:lang w:val="is-IS" w:eastAsia="en-GB"/>
        </w:rPr>
        <w:t>Veittir verði afslættir til félaga sem starfa að menningar-, íþrótta-, æskulýðs- og tómstundastarfsemi eða vinna að mannúðarstörfum og reka eigið húsnæði eða leigja til lengri tíma en eins árs fyrir starfsemina skv. reglum þar um. </w:t>
      </w:r>
    </w:p>
    <w:p w:rsidRPr="00FB715E" w:rsidR="00FB715E" w:rsidP="00FB715E" w:rsidRDefault="00FB715E" w14:paraId="4142E44E" w14:textId="77777777">
      <w:pPr>
        <w:spacing w:line="360" w:lineRule="auto"/>
        <w:rPr>
          <w:rFonts w:ascii="Verdana" w:hAnsi="Verdana"/>
          <w:lang w:val="is-IS" w:eastAsia="en-GB"/>
        </w:rPr>
      </w:pPr>
      <w:r w:rsidRPr="00FB715E">
        <w:rPr>
          <w:rFonts w:ascii="Verdana" w:hAnsi="Verdana"/>
          <w:lang w:val="is-IS" w:eastAsia="en-GB"/>
        </w:rPr>
        <w:t> </w:t>
      </w:r>
    </w:p>
    <w:p w:rsidRPr="00FB715E" w:rsidR="00FB715E" w:rsidP="00FB715E" w:rsidRDefault="00FB715E" w14:paraId="54D6E755" w14:textId="3E3D61EC">
      <w:pPr>
        <w:tabs>
          <w:tab w:val="left" w:pos="1950"/>
        </w:tabs>
        <w:rPr>
          <w:lang w:val="is-IS" w:eastAsia="en-GB"/>
        </w:rPr>
      </w:pPr>
    </w:p>
    <w:sectPr w:rsidRPr="00FB715E" w:rsidR="00FB71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 w:orient="portrait"/>
      <w:pgMar w:top="1020" w:right="793" w:bottom="566" w:left="793" w:header="1190" w:footer="3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4FC2" w:rsidRDefault="00674FC2" w14:paraId="43C8C8AB" w14:textId="77777777">
      <w:r>
        <w:separator/>
      </w:r>
    </w:p>
  </w:endnote>
  <w:endnote w:type="continuationSeparator" w:id="0">
    <w:p w:rsidR="00674FC2" w:rsidRDefault="00674FC2" w14:paraId="57E229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1C7" w:rsidRDefault="00D661C7" w14:paraId="26094B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8C2" w:rsidRDefault="00CD58C2" w14:paraId="126546C5" w14:textId="77777777">
    <w:pPr>
      <w:spacing w:line="288" w:lineRule="auto"/>
      <w:rPr>
        <w:b/>
        <w:color w:val="012C97"/>
        <w:sz w:val="16"/>
        <w:szCs w:val="16"/>
      </w:rPr>
    </w:pPr>
  </w:p>
  <w:p w:rsidR="00CD58C2" w:rsidRDefault="00CD58C2" w14:paraId="5258B9B3" w14:textId="77777777">
    <w:pPr>
      <w:spacing w:line="288" w:lineRule="auto"/>
      <w:rPr>
        <w:b/>
        <w:color w:val="012C97"/>
        <w:sz w:val="16"/>
        <w:szCs w:val="16"/>
      </w:rPr>
    </w:pPr>
  </w:p>
  <w:tbl>
    <w:tblPr>
      <w:tblStyle w:val="a"/>
      <w:tblW w:w="10267" w:type="dxa"/>
      <w:tblInd w:w="56" w:type="dxa"/>
      <w:tblLayout w:type="fixed"/>
      <w:tblLook w:val="0600" w:firstRow="0" w:lastRow="0" w:firstColumn="0" w:lastColumn="0" w:noHBand="1" w:noVBand="1"/>
    </w:tblPr>
    <w:tblGrid>
      <w:gridCol w:w="2557"/>
      <w:gridCol w:w="2850"/>
      <w:gridCol w:w="2850"/>
      <w:gridCol w:w="2010"/>
    </w:tblGrid>
    <w:tr w:rsidR="00CD58C2" w14:paraId="1EF15DBF" w14:textId="77777777">
      <w:trPr>
        <w:cantSplit/>
        <w:tblHeader/>
      </w:trPr>
      <w:tc>
        <w:tcPr>
          <w:tcW w:w="2557" w:type="dxa"/>
          <w:tcBorders>
            <w:top w:val="single" w:color="012C97" w:sz="4" w:space="0"/>
          </w:tcBorders>
          <w:tcMar>
            <w:top w:w="113" w:type="dxa"/>
            <w:left w:w="113" w:type="dxa"/>
            <w:bottom w:w="113" w:type="dxa"/>
            <w:right w:w="113" w:type="dxa"/>
          </w:tcMar>
        </w:tcPr>
        <w:p w:rsidR="00CD58C2" w:rsidRDefault="00A67F1B" w14:paraId="30D8E278" w14:textId="77777777">
          <w:pPr>
            <w:pStyle w:val="Title"/>
            <w:rPr>
              <w:b/>
            </w:rPr>
          </w:pPr>
          <w:bookmarkStart w:name="_ymn8xul4655q" w:colFirst="0" w:colLast="0" w:id="0"/>
          <w:bookmarkEnd w:id="0"/>
          <w:r>
            <w:rPr>
              <w:b/>
            </w:rPr>
            <w:t>Sveitarfélagið Árborg</w:t>
          </w:r>
        </w:p>
        <w:p w:rsidR="00CD58C2" w:rsidRDefault="00A67F1B" w14:paraId="0B74D24A" w14:textId="77777777">
          <w:pPr>
            <w:pStyle w:val="Title"/>
          </w:pPr>
          <w:bookmarkStart w:name="_niovorgw9a7l" w:colFirst="0" w:colLast="0" w:id="1"/>
          <w:bookmarkEnd w:id="1"/>
          <w:proofErr w:type="spellStart"/>
          <w:r>
            <w:t>Fjármálasvið</w:t>
          </w:r>
          <w:proofErr w:type="spellEnd"/>
        </w:p>
      </w:tc>
      <w:tc>
        <w:tcPr>
          <w:tcW w:w="2850" w:type="dxa"/>
          <w:tcBorders>
            <w:top w:val="single" w:color="012C97" w:sz="4" w:space="0"/>
          </w:tcBorders>
          <w:tcMar>
            <w:top w:w="113" w:type="dxa"/>
            <w:left w:w="113" w:type="dxa"/>
            <w:bottom w:w="113" w:type="dxa"/>
            <w:right w:w="113" w:type="dxa"/>
          </w:tcMar>
        </w:tcPr>
        <w:p w:rsidR="00CD58C2" w:rsidRDefault="00CD58C2" w14:paraId="1BB4194E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12C97"/>
              <w:sz w:val="16"/>
              <w:szCs w:val="16"/>
            </w:rPr>
          </w:pPr>
        </w:p>
      </w:tc>
      <w:tc>
        <w:tcPr>
          <w:tcW w:w="2850" w:type="dxa"/>
          <w:tcBorders>
            <w:top w:val="single" w:color="012C97" w:sz="4" w:space="0"/>
          </w:tcBorders>
          <w:tcMar>
            <w:top w:w="113" w:type="dxa"/>
            <w:left w:w="113" w:type="dxa"/>
            <w:bottom w:w="113" w:type="dxa"/>
            <w:right w:w="113" w:type="dxa"/>
          </w:tcMar>
        </w:tcPr>
        <w:p w:rsidR="00CD58C2" w:rsidRDefault="00A67F1B" w14:paraId="673B968E" w14:textId="77777777">
          <w:pPr>
            <w:pStyle w:val="Title"/>
          </w:pPr>
          <w:bookmarkStart w:name="_3aw2i12z3xmp" w:colFirst="0" w:colLast="0" w:id="2"/>
          <w:bookmarkEnd w:id="2"/>
          <w:proofErr w:type="spellStart"/>
          <w:r>
            <w:t>Austurvegi</w:t>
          </w:r>
          <w:proofErr w:type="spellEnd"/>
          <w:r>
            <w:t xml:space="preserve"> </w:t>
          </w:r>
          <w:r w:rsidR="002C7377">
            <w:t>2</w:t>
          </w:r>
          <w:r>
            <w:t>, 800 Selfoss</w:t>
          </w:r>
        </w:p>
        <w:p w:rsidR="00CD58C2" w:rsidRDefault="00A67F1B" w14:paraId="740BC1E4" w14:textId="77777777">
          <w:pPr>
            <w:pStyle w:val="Title"/>
            <w:rPr>
              <w:b/>
            </w:rPr>
          </w:pPr>
          <w:bookmarkStart w:name="_xi58ixt21qtu" w:colFirst="0" w:colLast="0" w:id="3"/>
          <w:bookmarkEnd w:id="3"/>
          <w:r>
            <w:t>480 1900</w:t>
          </w:r>
        </w:p>
      </w:tc>
      <w:tc>
        <w:tcPr>
          <w:tcW w:w="2010" w:type="dxa"/>
          <w:tcBorders>
            <w:top w:val="single" w:color="012C97" w:sz="4" w:space="0"/>
          </w:tcBorders>
          <w:tcMar>
            <w:top w:w="113" w:type="dxa"/>
            <w:left w:w="113" w:type="dxa"/>
            <w:bottom w:w="113" w:type="dxa"/>
            <w:right w:w="113" w:type="dxa"/>
          </w:tcMar>
        </w:tcPr>
        <w:p w:rsidR="00CD58C2" w:rsidRDefault="00A67F1B" w14:paraId="021A2EC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12C97"/>
              <w:sz w:val="16"/>
              <w:szCs w:val="16"/>
            </w:rPr>
          </w:pPr>
          <w:r>
            <w:rPr>
              <w:color w:val="012C97"/>
              <w:sz w:val="16"/>
              <w:szCs w:val="16"/>
            </w:rPr>
            <w:t>radhus@arborg.is</w:t>
          </w:r>
        </w:p>
        <w:p w:rsidR="00CD58C2" w:rsidRDefault="00A67F1B" w14:paraId="41817850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12C97"/>
              <w:sz w:val="16"/>
              <w:szCs w:val="16"/>
            </w:rPr>
          </w:pPr>
          <w:r>
            <w:rPr>
              <w:color w:val="012C97"/>
              <w:sz w:val="16"/>
              <w:szCs w:val="16"/>
            </w:rPr>
            <w:t>arborg.is</w:t>
          </w:r>
        </w:p>
      </w:tc>
    </w:tr>
  </w:tbl>
  <w:p w:rsidR="00CD58C2" w:rsidRDefault="00CD58C2" w14:paraId="2CA63A36" w14:textId="77777777">
    <w:pPr>
      <w:spacing w:line="288" w:lineRule="auto"/>
      <w:rPr>
        <w:b/>
        <w:color w:val="012C9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1C7" w:rsidRDefault="00D661C7" w14:paraId="07BBBF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4FC2" w:rsidRDefault="00674FC2" w14:paraId="7661A8F0" w14:textId="77777777">
      <w:r>
        <w:separator/>
      </w:r>
    </w:p>
  </w:footnote>
  <w:footnote w:type="continuationSeparator" w:id="0">
    <w:p w:rsidR="00674FC2" w:rsidRDefault="00674FC2" w14:paraId="232D9D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1C7" w:rsidRDefault="00D661C7" w14:paraId="493583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D58C2" w:rsidRDefault="00CD58C2" w14:paraId="1A2F96E7" w14:textId="77777777">
    <w:pPr>
      <w:rPr>
        <w:color w:val="012C97"/>
      </w:rPr>
    </w:pPr>
  </w:p>
  <w:p w:rsidR="00CD58C2" w:rsidRDefault="00A67F1B" w14:paraId="2EBCDF34" w14:textId="77777777">
    <w:pPr>
      <w:rPr>
        <w:color w:val="012C97"/>
      </w:rPr>
    </w:pPr>
    <w:r>
      <w:rPr>
        <w:noProof/>
        <w:color w:val="012C97"/>
      </w:rPr>
      <w:drawing>
        <wp:anchor distT="114300" distB="114300" distL="114300" distR="114300" simplePos="0" relativeHeight="251658240" behindDoc="0" locked="0" layoutInCell="1" hidden="0" allowOverlap="1" wp14:anchorId="528A5454" wp14:editId="1FD1E991">
          <wp:simplePos x="0" y="0"/>
          <wp:positionH relativeFrom="page">
            <wp:posOffset>504000</wp:posOffset>
          </wp:positionH>
          <wp:positionV relativeFrom="page">
            <wp:posOffset>648000</wp:posOffset>
          </wp:positionV>
          <wp:extent cx="1652400" cy="648000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24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D58C2" w:rsidRDefault="00CD58C2" w14:paraId="1ECBAC14" w14:textId="77777777">
    <w:pPr>
      <w:ind w:left="1587" w:right="1587"/>
      <w:rPr>
        <w:color w:val="012C9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1C7" w:rsidRDefault="00D661C7" w14:paraId="171B1C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30E"/>
    <w:multiLevelType w:val="multilevel"/>
    <w:tmpl w:val="48205E1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20D32"/>
    <w:multiLevelType w:val="multilevel"/>
    <w:tmpl w:val="B180201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C587B"/>
    <w:multiLevelType w:val="multilevel"/>
    <w:tmpl w:val="5858964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F6B08"/>
    <w:multiLevelType w:val="multilevel"/>
    <w:tmpl w:val="A3DCAB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60970"/>
    <w:multiLevelType w:val="multilevel"/>
    <w:tmpl w:val="7B0AD3F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34F66"/>
    <w:multiLevelType w:val="multilevel"/>
    <w:tmpl w:val="659EBA10"/>
    <w:lvl w:ilvl="0">
      <w:start w:val="4"/>
      <w:numFmt w:val="lowerRoman"/>
      <w:lvlText w:val="%1."/>
      <w:lvlJc w:val="right"/>
      <w:pPr>
        <w:tabs>
          <w:tab w:val="num" w:pos="2340"/>
        </w:tabs>
        <w:ind w:left="234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060"/>
        </w:tabs>
        <w:ind w:lef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500"/>
        </w:tabs>
        <w:ind w:left="450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220"/>
        </w:tabs>
        <w:ind w:lef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660"/>
        </w:tabs>
        <w:ind w:left="666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380"/>
        </w:tabs>
        <w:ind w:lef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hanging="360"/>
      </w:pPr>
    </w:lvl>
  </w:abstractNum>
  <w:abstractNum w:abstractNumId="6" w15:restartNumberingAfterBreak="0">
    <w:nsid w:val="433A4755"/>
    <w:multiLevelType w:val="multilevel"/>
    <w:tmpl w:val="AD40147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542B1"/>
    <w:multiLevelType w:val="multilevel"/>
    <w:tmpl w:val="7EBA462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1264F"/>
    <w:multiLevelType w:val="multilevel"/>
    <w:tmpl w:val="D446236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57E9B"/>
    <w:multiLevelType w:val="multilevel"/>
    <w:tmpl w:val="B06C9F8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A7268"/>
    <w:multiLevelType w:val="multilevel"/>
    <w:tmpl w:val="A0D0F50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869AE"/>
    <w:multiLevelType w:val="multilevel"/>
    <w:tmpl w:val="038C8C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702E8"/>
    <w:multiLevelType w:val="multilevel"/>
    <w:tmpl w:val="4DBED0C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E45A3"/>
    <w:multiLevelType w:val="multilevel"/>
    <w:tmpl w:val="8C8079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1D1C9E"/>
    <w:multiLevelType w:val="multilevel"/>
    <w:tmpl w:val="424CF1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45FD7"/>
    <w:multiLevelType w:val="hybridMultilevel"/>
    <w:tmpl w:val="AAC6EAFA"/>
    <w:lvl w:ilvl="0" w:tplc="AB4053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233375">
    <w:abstractNumId w:val="15"/>
  </w:num>
  <w:num w:numId="2" w16cid:durableId="272247920">
    <w:abstractNumId w:val="12"/>
  </w:num>
  <w:num w:numId="3" w16cid:durableId="341973541">
    <w:abstractNumId w:val="14"/>
  </w:num>
  <w:num w:numId="4" w16cid:durableId="1870098294">
    <w:abstractNumId w:val="2"/>
  </w:num>
  <w:num w:numId="5" w16cid:durableId="1721053244">
    <w:abstractNumId w:val="7"/>
  </w:num>
  <w:num w:numId="6" w16cid:durableId="1148206364">
    <w:abstractNumId w:val="4"/>
  </w:num>
  <w:num w:numId="7" w16cid:durableId="112677172">
    <w:abstractNumId w:val="0"/>
  </w:num>
  <w:num w:numId="8" w16cid:durableId="960041416">
    <w:abstractNumId w:val="13"/>
  </w:num>
  <w:num w:numId="9" w16cid:durableId="180171292">
    <w:abstractNumId w:val="8"/>
  </w:num>
  <w:num w:numId="10" w16cid:durableId="1114398897">
    <w:abstractNumId w:val="1"/>
  </w:num>
  <w:num w:numId="11" w16cid:durableId="1034500708">
    <w:abstractNumId w:val="5"/>
  </w:num>
  <w:num w:numId="12" w16cid:durableId="1813911896">
    <w:abstractNumId w:val="9"/>
  </w:num>
  <w:num w:numId="13" w16cid:durableId="1349991957">
    <w:abstractNumId w:val="6"/>
  </w:num>
  <w:num w:numId="14" w16cid:durableId="2090540913">
    <w:abstractNumId w:val="10"/>
  </w:num>
  <w:num w:numId="15" w16cid:durableId="1616450598">
    <w:abstractNumId w:val="3"/>
  </w:num>
  <w:num w:numId="16" w16cid:durableId="95205592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A5"/>
    <w:rsid w:val="00003432"/>
    <w:rsid w:val="000240A1"/>
    <w:rsid w:val="00051831"/>
    <w:rsid w:val="0005681F"/>
    <w:rsid w:val="000E7F01"/>
    <w:rsid w:val="001431DD"/>
    <w:rsid w:val="0018391F"/>
    <w:rsid w:val="002666E8"/>
    <w:rsid w:val="00276135"/>
    <w:rsid w:val="002B685B"/>
    <w:rsid w:val="002C20A8"/>
    <w:rsid w:val="002C7377"/>
    <w:rsid w:val="00303A7A"/>
    <w:rsid w:val="0037534A"/>
    <w:rsid w:val="00376AED"/>
    <w:rsid w:val="00387A28"/>
    <w:rsid w:val="00423A39"/>
    <w:rsid w:val="00486F43"/>
    <w:rsid w:val="004B1EF8"/>
    <w:rsid w:val="005267B9"/>
    <w:rsid w:val="005A3289"/>
    <w:rsid w:val="005B28D7"/>
    <w:rsid w:val="00621431"/>
    <w:rsid w:val="00674FC2"/>
    <w:rsid w:val="007002AF"/>
    <w:rsid w:val="007148BF"/>
    <w:rsid w:val="007435CB"/>
    <w:rsid w:val="007E0339"/>
    <w:rsid w:val="008231A5"/>
    <w:rsid w:val="00871B50"/>
    <w:rsid w:val="008E726E"/>
    <w:rsid w:val="00987E1B"/>
    <w:rsid w:val="009A4918"/>
    <w:rsid w:val="009B03FA"/>
    <w:rsid w:val="009C0726"/>
    <w:rsid w:val="00A65705"/>
    <w:rsid w:val="00A67F1B"/>
    <w:rsid w:val="00AC441C"/>
    <w:rsid w:val="00C222D7"/>
    <w:rsid w:val="00C7689C"/>
    <w:rsid w:val="00CA4C50"/>
    <w:rsid w:val="00CD58C2"/>
    <w:rsid w:val="00D3539E"/>
    <w:rsid w:val="00D661C7"/>
    <w:rsid w:val="00D938C4"/>
    <w:rsid w:val="00DA4FE2"/>
    <w:rsid w:val="00E12F82"/>
    <w:rsid w:val="00E21E1A"/>
    <w:rsid w:val="00E40896"/>
    <w:rsid w:val="00EB2882"/>
    <w:rsid w:val="00EE76D8"/>
    <w:rsid w:val="00F92ED5"/>
    <w:rsid w:val="00FB715E"/>
    <w:rsid w:val="06EF7D79"/>
    <w:rsid w:val="0C8A85B3"/>
    <w:rsid w:val="158812F7"/>
    <w:rsid w:val="1AD14DB6"/>
    <w:rsid w:val="35EC3EBE"/>
    <w:rsid w:val="4321FE66"/>
    <w:rsid w:val="46B29231"/>
    <w:rsid w:val="55C4BEAB"/>
    <w:rsid w:val="623FA594"/>
    <w:rsid w:val="62A83BA5"/>
    <w:rsid w:val="6AF2B09B"/>
    <w:rsid w:val="7552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E0711"/>
  <w15:docId w15:val="{3D4E654C-95B8-4DE1-BCCB-1EB5FBCAAC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Source Sans Pro" w:hAnsi="Source Sans Pro" w:eastAsia="Source Sans Pro" w:cs="Source Sans Pro"/>
        <w:sz w:val="22"/>
        <w:szCs w:val="22"/>
        <w:lang w:val="en-GB" w:eastAsia="en-GB" w:bidi="ar-SA"/>
      </w:rPr>
    </w:rPrDefault>
    <w:pPrDefault>
      <w:pPr>
        <w:widowControl w:val="0"/>
        <w:ind w:left="1190" w:right="11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31A5"/>
    <w:pPr>
      <w:widowControl/>
      <w:ind w:left="0" w:right="0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  <w:color w:val="012C9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88" w:lineRule="auto"/>
    </w:pPr>
    <w:rPr>
      <w:color w:val="012C97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61C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661C7"/>
  </w:style>
  <w:style w:type="paragraph" w:styleId="Footer">
    <w:name w:val="footer"/>
    <w:basedOn w:val="Normal"/>
    <w:link w:val="FooterChar"/>
    <w:uiPriority w:val="99"/>
    <w:unhideWhenUsed/>
    <w:rsid w:val="00D661C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661C7"/>
  </w:style>
  <w:style w:type="paragraph" w:styleId="ListParagraph">
    <w:name w:val="List Paragraph"/>
    <w:basedOn w:val="Normal"/>
    <w:uiPriority w:val="34"/>
    <w:qFormat/>
    <w:rsid w:val="005A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4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borg.sharepoint.com/sites/Lindir-myndir-snidmat/Snimt/&#193;rborg%20-%20Fj&#225;rm&#225;lasvi&#2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0bfa4-8614-40d1-9dc8-45407fd50a0f">
      <Terms xmlns="http://schemas.microsoft.com/office/infopath/2007/PartnerControls"/>
    </lcf76f155ced4ddcb4097134ff3c332f>
    <TaxCatchAll xmlns="45519b34-ca6f-4644-9729-2ce212378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1ABEEC4DA8F4796573462989463EA" ma:contentTypeVersion="18" ma:contentTypeDescription="Create a new document." ma:contentTypeScope="" ma:versionID="ba7daebc6e36255da2a87dbeeecf6629">
  <xsd:schema xmlns:xsd="http://www.w3.org/2001/XMLSchema" xmlns:xs="http://www.w3.org/2001/XMLSchema" xmlns:p="http://schemas.microsoft.com/office/2006/metadata/properties" xmlns:ns2="9800bfa4-8614-40d1-9dc8-45407fd50a0f" xmlns:ns3="45519b34-ca6f-4644-9729-2ce2123787f4" targetNamespace="http://schemas.microsoft.com/office/2006/metadata/properties" ma:root="true" ma:fieldsID="36c00c197f7ebb08b3070a58783c281c" ns2:_="" ns3:_="">
    <xsd:import namespace="9800bfa4-8614-40d1-9dc8-45407fd50a0f"/>
    <xsd:import namespace="45519b34-ca6f-4644-9729-2ce212378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bfa4-8614-40d1-9dc8-45407fd50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e41934e-081e-493a-98a2-b8166e6ce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b34-ca6f-4644-9729-2ce212378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a8f2e2-d579-4834-8a83-125d931bdd18}" ma:internalName="TaxCatchAll" ma:showField="CatchAllData" ma:web="45519b34-ca6f-4644-9729-2ce212378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840AC-76A6-4F83-A574-40D6BB2BE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4A0B4-37D3-4742-A770-31DE8C5B0D6F}">
  <ds:schemaRefs>
    <ds:schemaRef ds:uri="http://purl.org/dc/elements/1.1/"/>
    <ds:schemaRef ds:uri="http://schemas.microsoft.com/office/2006/metadata/properties"/>
    <ds:schemaRef ds:uri="45519b34-ca6f-4644-9729-2ce2123787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00bfa4-8614-40d1-9dc8-45407fd50a0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008340-70C5-478E-9FEA-3B21DE89D5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Árborg%20-%20Fjármálasvið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Unnur Edda Jónsdóttir</dc:creator>
  <lastModifiedBy>Þórdís Sif Sigurðardóttir</lastModifiedBy>
  <revision>25</revision>
  <dcterms:created xsi:type="dcterms:W3CDTF">2026-01-05T09:40:00.0000000Z</dcterms:created>
  <dcterms:modified xsi:type="dcterms:W3CDTF">2026-02-25T15:18:15.1938727Z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0x0101001AD1ABEEC4DA8F4796573462989463EA</vt:lpwstr>
  </property>
  <property fmtid="{D5CDD505-2E9C-101B-9397-08002B2CF9AE}" pid="3" name="One_FileVersion">
    <vt:lpwstr>0.0</vt:lpwstr>
  </property>
  <property fmtid="{D5CDD505-2E9C-101B-9397-08002B2CF9AE}" pid="4" name="MediaServiceImageTags">
    <vt:lpwstr/>
  </property>
</Properties>
</file>